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5899"/>
        <w:gridCol w:w="2674"/>
      </w:tblGrid>
      <w:tr w:rsidR="00250E75" w:rsidRPr="00250E75" w:rsidTr="006F52A3">
        <w:trPr>
          <w:trHeight w:val="541"/>
        </w:trPr>
        <w:tc>
          <w:tcPr>
            <w:tcW w:w="5899" w:type="dxa"/>
          </w:tcPr>
          <w:p w:rsidR="00250E75" w:rsidRPr="00250E75" w:rsidRDefault="00250E75" w:rsidP="006F52A3">
            <w:pPr>
              <w:spacing w:after="120"/>
              <w:rPr>
                <w:rFonts w:ascii="Arial" w:hAnsi="Arial" w:cs="Arial"/>
                <w:sz w:val="20"/>
              </w:rPr>
            </w:pPr>
            <w:r w:rsidRPr="00250E75">
              <w:rPr>
                <w:rFonts w:ascii="Arial" w:hAnsi="Arial" w:cs="Arial"/>
                <w:noProof/>
                <w:sz w:val="20"/>
                <w:lang w:eastAsia="en-GB"/>
              </w:rPr>
              <w:drawing>
                <wp:inline distT="0" distB="0" distL="0" distR="0">
                  <wp:extent cx="523875" cy="419100"/>
                  <wp:effectExtent l="19050" t="0" r="9525" b="0"/>
                  <wp:docPr id="1" name="Picture 1" descr="logone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white"/>
                          <pic:cNvPicPr>
                            <a:picLocks noChangeAspect="1" noChangeArrowheads="1"/>
                          </pic:cNvPicPr>
                        </pic:nvPicPr>
                        <pic:blipFill>
                          <a:blip r:embed="rId5" cstate="print"/>
                          <a:srcRect/>
                          <a:stretch>
                            <a:fillRect/>
                          </a:stretch>
                        </pic:blipFill>
                        <pic:spPr bwMode="auto">
                          <a:xfrm>
                            <a:off x="0" y="0"/>
                            <a:ext cx="523875" cy="419100"/>
                          </a:xfrm>
                          <a:prstGeom prst="rect">
                            <a:avLst/>
                          </a:prstGeom>
                          <a:noFill/>
                          <a:ln w="9525">
                            <a:noFill/>
                            <a:miter lim="800000"/>
                            <a:headEnd/>
                            <a:tailEnd/>
                          </a:ln>
                        </pic:spPr>
                      </pic:pic>
                    </a:graphicData>
                  </a:graphic>
                </wp:inline>
              </w:drawing>
            </w:r>
            <w:r w:rsidRPr="00250E75">
              <w:rPr>
                <w:noProof/>
                <w:sz w:val="20"/>
                <w:lang w:eastAsia="en-GB"/>
              </w:rPr>
              <w:drawing>
                <wp:inline distT="0" distB="0" distL="0" distR="0">
                  <wp:extent cx="695325" cy="371475"/>
                  <wp:effectExtent l="19050" t="0" r="9525" b="0"/>
                  <wp:docPr id="2" name="Picture 2" descr="KASC Logo 4 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C Logo 4 NE[1]"/>
                          <pic:cNvPicPr>
                            <a:picLocks noChangeAspect="1" noChangeArrowheads="1"/>
                          </pic:cNvPicPr>
                        </pic:nvPicPr>
                        <pic:blipFill>
                          <a:blip r:embed="rId6" cstate="print"/>
                          <a:srcRect/>
                          <a:stretch>
                            <a:fillRect/>
                          </a:stretch>
                        </pic:blipFill>
                        <pic:spPr bwMode="auto">
                          <a:xfrm>
                            <a:off x="0" y="0"/>
                            <a:ext cx="695325" cy="371475"/>
                          </a:xfrm>
                          <a:prstGeom prst="rect">
                            <a:avLst/>
                          </a:prstGeom>
                          <a:noFill/>
                          <a:ln w="9525">
                            <a:noFill/>
                            <a:miter lim="800000"/>
                            <a:headEnd/>
                            <a:tailEnd/>
                          </a:ln>
                        </pic:spPr>
                      </pic:pic>
                    </a:graphicData>
                  </a:graphic>
                </wp:inline>
              </w:drawing>
            </w:r>
          </w:p>
        </w:tc>
        <w:tc>
          <w:tcPr>
            <w:tcW w:w="2674" w:type="dxa"/>
          </w:tcPr>
          <w:p w:rsidR="00250E75" w:rsidRPr="00250E75" w:rsidRDefault="00250E75" w:rsidP="00250E75">
            <w:pPr>
              <w:jc w:val="center"/>
              <w:rPr>
                <w:rFonts w:ascii="Arial" w:hAnsi="Arial" w:cs="Arial"/>
                <w:sz w:val="20"/>
              </w:rPr>
            </w:pPr>
            <w:r w:rsidRPr="00250E75">
              <w:rPr>
                <w:noProof/>
                <w:sz w:val="20"/>
                <w:lang w:eastAsia="en-GB"/>
              </w:rPr>
              <w:drawing>
                <wp:inline distT="0" distB="0" distL="0" distR="0">
                  <wp:extent cx="542925" cy="361950"/>
                  <wp:effectExtent l="19050" t="0" r="9525" b="0"/>
                  <wp:docPr id="3" name="Picture 3" descr="HI_BIG_E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_BIG_E_PINK"/>
                          <pic:cNvPicPr>
                            <a:picLocks noChangeAspect="1" noChangeArrowheads="1"/>
                          </pic:cNvPicPr>
                        </pic:nvPicPr>
                        <pic:blipFill>
                          <a:blip r:embed="rId7" cstate="print"/>
                          <a:srcRect/>
                          <a:stretch>
                            <a:fillRect/>
                          </a:stretch>
                        </pic:blipFill>
                        <pic:spPr bwMode="auto">
                          <a:xfrm>
                            <a:off x="0" y="0"/>
                            <a:ext cx="542925" cy="361950"/>
                          </a:xfrm>
                          <a:prstGeom prst="rect">
                            <a:avLst/>
                          </a:prstGeom>
                          <a:noFill/>
                          <a:ln w="9525">
                            <a:noFill/>
                            <a:miter lim="800000"/>
                            <a:headEnd/>
                            <a:tailEnd/>
                          </a:ln>
                        </pic:spPr>
                      </pic:pic>
                    </a:graphicData>
                  </a:graphic>
                </wp:inline>
              </w:drawing>
            </w:r>
          </w:p>
        </w:tc>
      </w:tr>
    </w:tbl>
    <w:p w:rsidR="00317665" w:rsidRPr="006F52A3" w:rsidRDefault="00317665" w:rsidP="006F52A3">
      <w:pPr>
        <w:jc w:val="center"/>
        <w:rPr>
          <w:rFonts w:ascii="Comic Sans MS" w:hAnsi="Comic Sans MS"/>
          <w:b/>
          <w:sz w:val="24"/>
          <w:szCs w:val="24"/>
          <w:u w:val="single"/>
        </w:rPr>
      </w:pPr>
      <w:proofErr w:type="gramStart"/>
      <w:r w:rsidRPr="006F52A3">
        <w:rPr>
          <w:rFonts w:ascii="Comic Sans MS" w:hAnsi="Comic Sans MS"/>
          <w:b/>
          <w:sz w:val="24"/>
          <w:szCs w:val="24"/>
          <w:u w:val="single"/>
        </w:rPr>
        <w:t>Learning to be independent.</w:t>
      </w:r>
      <w:proofErr w:type="gramEnd"/>
    </w:p>
    <w:p w:rsidR="00317665" w:rsidRPr="00250E75" w:rsidRDefault="00317665" w:rsidP="006F52A3">
      <w:pPr>
        <w:rPr>
          <w:rFonts w:ascii="Comic Sans MS" w:hAnsi="Comic Sans MS"/>
          <w:szCs w:val="28"/>
        </w:rPr>
      </w:pPr>
      <w:r w:rsidRPr="00250E75">
        <w:rPr>
          <w:rFonts w:ascii="Comic Sans MS" w:hAnsi="Comic Sans MS"/>
          <w:szCs w:val="28"/>
        </w:rPr>
        <w:t>School is not far away for our ol</w:t>
      </w:r>
      <w:r w:rsidR="00350953" w:rsidRPr="00250E75">
        <w:rPr>
          <w:rFonts w:ascii="Comic Sans MS" w:hAnsi="Comic Sans MS"/>
          <w:szCs w:val="28"/>
        </w:rPr>
        <w:t>der children. Through</w:t>
      </w:r>
      <w:r w:rsidRPr="00250E75">
        <w:rPr>
          <w:rFonts w:ascii="Comic Sans MS" w:hAnsi="Comic Sans MS"/>
          <w:szCs w:val="28"/>
        </w:rPr>
        <w:t>out their time at playgroup, and especially now, we encourage our children to be independent as possible.</w:t>
      </w:r>
      <w:r w:rsidR="004122C7" w:rsidRPr="00250E75">
        <w:rPr>
          <w:rFonts w:ascii="Comic Sans MS" w:hAnsi="Comic Sans MS"/>
          <w:szCs w:val="28"/>
        </w:rPr>
        <w:t xml:space="preserve"> A little bit of praise goes a long way!</w:t>
      </w:r>
    </w:p>
    <w:p w:rsidR="00317665" w:rsidRPr="00250E75" w:rsidRDefault="00317665" w:rsidP="00BC5B4C">
      <w:pPr>
        <w:rPr>
          <w:rFonts w:ascii="Comic Sans MS" w:hAnsi="Comic Sans MS"/>
          <w:szCs w:val="28"/>
        </w:rPr>
      </w:pPr>
      <w:r w:rsidRPr="00250E75">
        <w:rPr>
          <w:rFonts w:ascii="Comic Sans MS" w:hAnsi="Comic Sans MS"/>
          <w:szCs w:val="28"/>
        </w:rPr>
        <w:t>Here are some points to think</w:t>
      </w:r>
      <w:r w:rsidR="00350953" w:rsidRPr="00250E75">
        <w:rPr>
          <w:rFonts w:ascii="Comic Sans MS" w:hAnsi="Comic Sans MS"/>
          <w:szCs w:val="28"/>
        </w:rPr>
        <w:t xml:space="preserve"> about wh</w:t>
      </w:r>
      <w:r w:rsidR="00250E75">
        <w:rPr>
          <w:rFonts w:ascii="Comic Sans MS" w:hAnsi="Comic Sans MS"/>
          <w:szCs w:val="28"/>
        </w:rPr>
        <w:t xml:space="preserve">ich if encouraged, at home and </w:t>
      </w:r>
      <w:proofErr w:type="gramStart"/>
      <w:r w:rsidR="00250E75">
        <w:rPr>
          <w:rFonts w:ascii="Comic Sans MS" w:hAnsi="Comic Sans MS"/>
          <w:szCs w:val="28"/>
        </w:rPr>
        <w:t>P</w:t>
      </w:r>
      <w:r w:rsidR="00350953" w:rsidRPr="00250E75">
        <w:rPr>
          <w:rFonts w:ascii="Comic Sans MS" w:hAnsi="Comic Sans MS"/>
          <w:szCs w:val="28"/>
        </w:rPr>
        <w:t>laygroup,</w:t>
      </w:r>
      <w:proofErr w:type="gramEnd"/>
      <w:r w:rsidR="00350953" w:rsidRPr="00250E75">
        <w:rPr>
          <w:rFonts w:ascii="Comic Sans MS" w:hAnsi="Comic Sans MS"/>
          <w:szCs w:val="28"/>
        </w:rPr>
        <w:t xml:space="preserve"> will</w:t>
      </w:r>
      <w:r w:rsidRPr="00250E75">
        <w:rPr>
          <w:rFonts w:ascii="Comic Sans MS" w:hAnsi="Comic Sans MS"/>
          <w:szCs w:val="28"/>
        </w:rPr>
        <w:t xml:space="preserve"> </w:t>
      </w:r>
      <w:r w:rsidR="00350953" w:rsidRPr="00250E75">
        <w:rPr>
          <w:rFonts w:ascii="Comic Sans MS" w:hAnsi="Comic Sans MS"/>
          <w:szCs w:val="28"/>
        </w:rPr>
        <w:t xml:space="preserve">help </w:t>
      </w:r>
      <w:r w:rsidRPr="00250E75">
        <w:rPr>
          <w:rFonts w:ascii="Comic Sans MS" w:hAnsi="Comic Sans MS"/>
          <w:szCs w:val="28"/>
        </w:rPr>
        <w:t>make your child’s transition to school a little bit easier!</w:t>
      </w:r>
    </w:p>
    <w:p w:rsidR="00317665" w:rsidRPr="00250E75" w:rsidRDefault="00317665"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select</w:t>
      </w:r>
      <w:proofErr w:type="gramEnd"/>
      <w:r w:rsidRPr="00250E75">
        <w:rPr>
          <w:rFonts w:ascii="Comic Sans MS" w:hAnsi="Comic Sans MS"/>
          <w:szCs w:val="28"/>
        </w:rPr>
        <w:t xml:space="preserve"> clothes that your child can manage to get on and off on </w:t>
      </w:r>
      <w:r w:rsidR="00350953" w:rsidRPr="00250E75">
        <w:rPr>
          <w:rFonts w:ascii="Comic Sans MS" w:hAnsi="Comic Sans MS"/>
          <w:szCs w:val="28"/>
        </w:rPr>
        <w:t>their</w:t>
      </w:r>
      <w:r w:rsidRPr="00250E75">
        <w:rPr>
          <w:rFonts w:ascii="Comic Sans MS" w:hAnsi="Comic Sans MS"/>
          <w:szCs w:val="28"/>
        </w:rPr>
        <w:t xml:space="preserve"> own (elastic waist</w:t>
      </w:r>
      <w:r w:rsidR="00350953" w:rsidRPr="00250E75">
        <w:rPr>
          <w:rFonts w:ascii="Comic Sans MS" w:hAnsi="Comic Sans MS"/>
          <w:szCs w:val="28"/>
        </w:rPr>
        <w:t>s</w:t>
      </w:r>
      <w:r w:rsidRPr="00250E75">
        <w:rPr>
          <w:rFonts w:ascii="Comic Sans MS" w:hAnsi="Comic Sans MS"/>
          <w:szCs w:val="28"/>
        </w:rPr>
        <w:t xml:space="preserve">, zips rather than button, </w:t>
      </w:r>
      <w:proofErr w:type="spellStart"/>
      <w:r w:rsidR="00350953" w:rsidRPr="00250E75">
        <w:rPr>
          <w:rFonts w:ascii="Comic Sans MS" w:hAnsi="Comic Sans MS"/>
          <w:szCs w:val="28"/>
        </w:rPr>
        <w:t>v</w:t>
      </w:r>
      <w:r w:rsidRPr="00250E75">
        <w:rPr>
          <w:rFonts w:ascii="Comic Sans MS" w:hAnsi="Comic Sans MS"/>
          <w:szCs w:val="28"/>
        </w:rPr>
        <w:t>elcro</w:t>
      </w:r>
      <w:proofErr w:type="spellEnd"/>
      <w:r w:rsidRPr="00250E75">
        <w:rPr>
          <w:rFonts w:ascii="Comic Sans MS" w:hAnsi="Comic Sans MS"/>
          <w:szCs w:val="28"/>
        </w:rPr>
        <w:t xml:space="preserve"> rather than laces)</w:t>
      </w:r>
      <w:r w:rsidR="004122C7" w:rsidRPr="00250E75">
        <w:rPr>
          <w:rFonts w:ascii="Comic Sans MS" w:hAnsi="Comic Sans MS"/>
          <w:szCs w:val="28"/>
        </w:rPr>
        <w:t>. Give them a choice of two options rather than their whole wardrobe – this is very confusing and overwhelming at 4 (actually it’s not much better as you get older either!)</w:t>
      </w:r>
    </w:p>
    <w:p w:rsidR="00317665" w:rsidRPr="00250E75" w:rsidRDefault="00317665"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encourage</w:t>
      </w:r>
      <w:proofErr w:type="gramEnd"/>
      <w:r w:rsidRPr="00250E75">
        <w:rPr>
          <w:rFonts w:ascii="Comic Sans MS" w:hAnsi="Comic Sans MS"/>
          <w:szCs w:val="28"/>
        </w:rPr>
        <w:t xml:space="preserve"> your child to manage their </w:t>
      </w:r>
      <w:r w:rsidR="00350953" w:rsidRPr="00250E75">
        <w:rPr>
          <w:rFonts w:ascii="Comic Sans MS" w:hAnsi="Comic Sans MS"/>
          <w:szCs w:val="28"/>
        </w:rPr>
        <w:t xml:space="preserve">own </w:t>
      </w:r>
      <w:r w:rsidR="004122C7" w:rsidRPr="00250E75">
        <w:rPr>
          <w:rFonts w:ascii="Comic Sans MS" w:hAnsi="Comic Sans MS"/>
          <w:szCs w:val="28"/>
        </w:rPr>
        <w:t xml:space="preserve">hygiene when they </w:t>
      </w:r>
      <w:r w:rsidRPr="00250E75">
        <w:rPr>
          <w:rFonts w:ascii="Comic Sans MS" w:hAnsi="Comic Sans MS"/>
          <w:szCs w:val="28"/>
        </w:rPr>
        <w:t xml:space="preserve">go to the toilet, </w:t>
      </w:r>
      <w:r w:rsidR="004122C7" w:rsidRPr="00250E75">
        <w:rPr>
          <w:rFonts w:ascii="Comic Sans MS" w:hAnsi="Comic Sans MS"/>
          <w:szCs w:val="28"/>
        </w:rPr>
        <w:t>and to recognise when they need to go themselves. Wet or dirty pants at home are far less stressful and embarrassing for them than the same thing in front of their friends at school</w:t>
      </w:r>
    </w:p>
    <w:p w:rsidR="00BC5B4C" w:rsidRPr="00250E75" w:rsidRDefault="00350953"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help</w:t>
      </w:r>
      <w:proofErr w:type="gramEnd"/>
      <w:r w:rsidRPr="00250E75">
        <w:rPr>
          <w:rFonts w:ascii="Comic Sans MS" w:hAnsi="Comic Sans MS"/>
          <w:szCs w:val="28"/>
        </w:rPr>
        <w:t xml:space="preserve"> your child recognise their own coat/</w:t>
      </w:r>
      <w:proofErr w:type="spellStart"/>
      <w:r w:rsidRPr="00250E75">
        <w:rPr>
          <w:rFonts w:ascii="Comic Sans MS" w:hAnsi="Comic Sans MS"/>
          <w:szCs w:val="28"/>
        </w:rPr>
        <w:t>wellies</w:t>
      </w:r>
      <w:proofErr w:type="spellEnd"/>
      <w:r w:rsidR="004122C7" w:rsidRPr="00250E75">
        <w:rPr>
          <w:rFonts w:ascii="Comic Sans MS" w:hAnsi="Comic Sans MS"/>
          <w:szCs w:val="28"/>
        </w:rPr>
        <w:t xml:space="preserve"> and to put them on and take them off themselves</w:t>
      </w:r>
      <w:r w:rsidRPr="00250E75">
        <w:rPr>
          <w:rFonts w:ascii="Comic Sans MS" w:hAnsi="Comic Sans MS"/>
          <w:szCs w:val="28"/>
        </w:rPr>
        <w:t>. Customize them with a badg</w:t>
      </w:r>
      <w:r w:rsidR="004122C7" w:rsidRPr="00250E75">
        <w:rPr>
          <w:rFonts w:ascii="Comic Sans MS" w:hAnsi="Comic Sans MS"/>
          <w:szCs w:val="28"/>
        </w:rPr>
        <w:t>e etc for instant recognition</w:t>
      </w:r>
      <w:r w:rsidRPr="00250E75">
        <w:rPr>
          <w:rFonts w:ascii="Comic Sans MS" w:hAnsi="Comic Sans MS"/>
          <w:szCs w:val="28"/>
        </w:rPr>
        <w:t xml:space="preserve"> (a lot of children wear the same school coat!)</w:t>
      </w:r>
    </w:p>
    <w:p w:rsidR="00350953" w:rsidRPr="00250E75" w:rsidRDefault="00350953"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choose</w:t>
      </w:r>
      <w:proofErr w:type="gramEnd"/>
      <w:r w:rsidRPr="00250E75">
        <w:rPr>
          <w:rFonts w:ascii="Comic Sans MS" w:hAnsi="Comic Sans MS"/>
          <w:szCs w:val="28"/>
        </w:rPr>
        <w:t xml:space="preserve"> a lunch box that your child can open and close on their own and let them practise doing it</w:t>
      </w:r>
      <w:r w:rsidR="00DC6F9E" w:rsidRPr="00250E75">
        <w:rPr>
          <w:rFonts w:ascii="Comic Sans MS" w:hAnsi="Comic Sans MS"/>
          <w:szCs w:val="28"/>
        </w:rPr>
        <w:t>.</w:t>
      </w:r>
    </w:p>
    <w:p w:rsidR="00350953" w:rsidRPr="00250E75" w:rsidRDefault="00350953"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encourage</w:t>
      </w:r>
      <w:proofErr w:type="gramEnd"/>
      <w:r w:rsidRPr="00250E75">
        <w:rPr>
          <w:rFonts w:ascii="Comic Sans MS" w:hAnsi="Comic Sans MS"/>
          <w:szCs w:val="28"/>
        </w:rPr>
        <w:t xml:space="preserve"> your child to find toys on their own and tidy them away when they have finished playing. This will be asked of them at school!</w:t>
      </w:r>
    </w:p>
    <w:p w:rsidR="00350953" w:rsidRPr="00250E75" w:rsidRDefault="00350953"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allow</w:t>
      </w:r>
      <w:proofErr w:type="gramEnd"/>
      <w:r w:rsidRPr="00250E75">
        <w:rPr>
          <w:rFonts w:ascii="Comic Sans MS" w:hAnsi="Comic Sans MS"/>
          <w:szCs w:val="28"/>
        </w:rPr>
        <w:t xml:space="preserve"> your child to make safe choices. Does it matter that the red trousers don’t go with the pink top?</w:t>
      </w:r>
    </w:p>
    <w:p w:rsidR="00E332CE" w:rsidRPr="00250E75" w:rsidRDefault="00350953"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teach</w:t>
      </w:r>
      <w:proofErr w:type="gramEnd"/>
      <w:r w:rsidRPr="00250E75">
        <w:rPr>
          <w:rFonts w:ascii="Comic Sans MS" w:hAnsi="Comic Sans MS"/>
          <w:szCs w:val="28"/>
        </w:rPr>
        <w:t xml:space="preserve"> safe consequences. Your child will soon realise that </w:t>
      </w:r>
      <w:r w:rsidR="00DC6F9E" w:rsidRPr="00250E75">
        <w:rPr>
          <w:rFonts w:ascii="Comic Sans MS" w:hAnsi="Comic Sans MS"/>
          <w:szCs w:val="28"/>
        </w:rPr>
        <w:t>they are cold without a coat in winter!</w:t>
      </w:r>
    </w:p>
    <w:p w:rsidR="009F2913" w:rsidRPr="00250E75" w:rsidRDefault="00250E75" w:rsidP="00250E75">
      <w:pPr>
        <w:pStyle w:val="ListParagraph"/>
        <w:numPr>
          <w:ilvl w:val="0"/>
          <w:numId w:val="3"/>
        </w:numPr>
        <w:rPr>
          <w:rFonts w:ascii="Comic Sans MS" w:hAnsi="Comic Sans MS"/>
          <w:szCs w:val="28"/>
        </w:rPr>
      </w:pPr>
      <w:proofErr w:type="gramStart"/>
      <w:r w:rsidRPr="00250E75">
        <w:rPr>
          <w:rFonts w:ascii="Comic Sans MS" w:hAnsi="Comic Sans MS"/>
          <w:szCs w:val="28"/>
        </w:rPr>
        <w:t>e</w:t>
      </w:r>
      <w:r w:rsidR="004122C7" w:rsidRPr="00250E75">
        <w:rPr>
          <w:rFonts w:ascii="Comic Sans MS" w:hAnsi="Comic Sans MS"/>
          <w:szCs w:val="28"/>
        </w:rPr>
        <w:t>ncourage</w:t>
      </w:r>
      <w:proofErr w:type="gramEnd"/>
      <w:r w:rsidR="004122C7" w:rsidRPr="00250E75">
        <w:rPr>
          <w:rFonts w:ascii="Comic Sans MS" w:hAnsi="Comic Sans MS"/>
          <w:szCs w:val="28"/>
        </w:rPr>
        <w:t xml:space="preserve"> your child to carry all the things they need for the day themselves both when they come in and when they go home. If they don’t know what they’ve brought in they will not remember what to take home</w:t>
      </w:r>
      <w:r w:rsidR="009F2913" w:rsidRPr="00250E75">
        <w:rPr>
          <w:rFonts w:ascii="Comic Sans MS" w:hAnsi="Comic Sans MS"/>
          <w:szCs w:val="28"/>
        </w:rPr>
        <w:t>.</w:t>
      </w:r>
    </w:p>
    <w:p w:rsidR="00537E70" w:rsidRDefault="009F2913" w:rsidP="00537E70">
      <w:pPr>
        <w:ind w:left="720"/>
        <w:rPr>
          <w:rFonts w:ascii="Comic Sans MS" w:hAnsi="Comic Sans MS"/>
          <w:szCs w:val="28"/>
        </w:rPr>
      </w:pPr>
      <w:r w:rsidRPr="00250E75">
        <w:rPr>
          <w:rFonts w:ascii="Comic Sans MS" w:hAnsi="Comic Sans MS"/>
          <w:szCs w:val="28"/>
        </w:rPr>
        <w:t xml:space="preserve">All these skills help your child develop a sense of their own self worth, and to organise themselves. This in turn </w:t>
      </w:r>
      <w:proofErr w:type="gramStart"/>
      <w:r w:rsidRPr="00250E75">
        <w:rPr>
          <w:rFonts w:ascii="Comic Sans MS" w:hAnsi="Comic Sans MS"/>
          <w:szCs w:val="28"/>
        </w:rPr>
        <w:t>lead</w:t>
      </w:r>
      <w:proofErr w:type="gramEnd"/>
      <w:r w:rsidRPr="00250E75">
        <w:rPr>
          <w:rFonts w:ascii="Comic Sans MS" w:hAnsi="Comic Sans MS"/>
          <w:szCs w:val="28"/>
        </w:rPr>
        <w:t xml:space="preserve"> to the development of all sorts of important skills needed for learning.</w:t>
      </w:r>
    </w:p>
    <w:tbl>
      <w:tblPr>
        <w:tblW w:w="10599" w:type="dxa"/>
        <w:tblLook w:val="00BF"/>
      </w:tblPr>
      <w:tblGrid>
        <w:gridCol w:w="7293"/>
        <w:gridCol w:w="3306"/>
      </w:tblGrid>
      <w:tr w:rsidR="006F52A3" w:rsidTr="006F52A3">
        <w:trPr>
          <w:trHeight w:val="1156"/>
        </w:trPr>
        <w:tc>
          <w:tcPr>
            <w:tcW w:w="7293" w:type="dxa"/>
            <w:hideMark/>
          </w:tcPr>
          <w:p w:rsidR="006F52A3" w:rsidRDefault="006F52A3" w:rsidP="006F52A3">
            <w:pPr>
              <w:pStyle w:val="Footer"/>
              <w:jc w:val="center"/>
              <w:rPr>
                <w:rFonts w:ascii="Comic Sans MS" w:hAnsi="Comic Sans MS"/>
                <w:sz w:val="16"/>
                <w:szCs w:val="16"/>
              </w:rPr>
            </w:pPr>
            <w:r>
              <w:rPr>
                <w:rFonts w:ascii="Comic Sans MS" w:hAnsi="Comic Sans MS"/>
                <w:sz w:val="16"/>
                <w:szCs w:val="16"/>
              </w:rPr>
              <w:t>Kineton Playgroup Ltd registered in England and Wales (registered company number 5812933)</w:t>
            </w:r>
          </w:p>
          <w:p w:rsidR="006F52A3" w:rsidRDefault="006F52A3" w:rsidP="006F52A3">
            <w:pPr>
              <w:pStyle w:val="Footer"/>
              <w:jc w:val="center"/>
              <w:rPr>
                <w:rFonts w:ascii="Comic Sans MS" w:hAnsi="Comic Sans MS"/>
                <w:sz w:val="16"/>
                <w:szCs w:val="16"/>
              </w:rPr>
            </w:pPr>
            <w:r>
              <w:rPr>
                <w:rFonts w:ascii="Comic Sans MS" w:hAnsi="Comic Sans MS"/>
                <w:sz w:val="16"/>
                <w:szCs w:val="16"/>
              </w:rPr>
              <w:t xml:space="preserve">Registered office: Helen’s Place, King John’s Road, Kineton, </w:t>
            </w:r>
            <w:smartTag w:uri="urn:schemas-microsoft-com:office:smarttags" w:element="place">
              <w:smartTag w:uri="urn:schemas-microsoft-com:office:smarttags" w:element="City">
                <w:r>
                  <w:rPr>
                    <w:rFonts w:ascii="Comic Sans MS" w:hAnsi="Comic Sans MS"/>
                    <w:sz w:val="16"/>
                    <w:szCs w:val="16"/>
                  </w:rPr>
                  <w:t>Warwickshire</w:t>
                </w:r>
              </w:smartTag>
              <w:r>
                <w:rPr>
                  <w:rFonts w:ascii="Comic Sans MS" w:hAnsi="Comic Sans MS"/>
                  <w:sz w:val="16"/>
                  <w:szCs w:val="16"/>
                </w:rPr>
                <w:t xml:space="preserve">, </w:t>
              </w:r>
              <w:smartTag w:uri="urn:schemas-microsoft-com:office:smarttags" w:element="PostalCode">
                <w:r>
                  <w:rPr>
                    <w:rFonts w:ascii="Comic Sans MS" w:hAnsi="Comic Sans MS"/>
                    <w:sz w:val="16"/>
                    <w:szCs w:val="16"/>
                  </w:rPr>
                  <w:t>CV35 0HS</w:t>
                </w:r>
              </w:smartTag>
            </w:smartTag>
          </w:p>
          <w:p w:rsidR="006F52A3" w:rsidRDefault="006F52A3" w:rsidP="006F52A3">
            <w:pPr>
              <w:pStyle w:val="Footer"/>
              <w:jc w:val="center"/>
              <w:rPr>
                <w:rFonts w:ascii="Comic Sans MS" w:hAnsi="Comic Sans MS"/>
                <w:sz w:val="16"/>
                <w:szCs w:val="16"/>
              </w:rPr>
            </w:pPr>
            <w:r>
              <w:rPr>
                <w:rFonts w:ascii="Comic Sans MS" w:hAnsi="Comic Sans MS"/>
                <w:sz w:val="16"/>
                <w:szCs w:val="16"/>
              </w:rPr>
              <w:t>Registered charity number: 1115513    Ofsted number: EY359930</w:t>
            </w:r>
          </w:p>
          <w:p w:rsidR="006F52A3" w:rsidRDefault="006F52A3" w:rsidP="006F52A3">
            <w:pPr>
              <w:pStyle w:val="Footer"/>
              <w:jc w:val="center"/>
              <w:rPr>
                <w:rFonts w:ascii="Arial" w:hAnsi="Arial" w:cs="Arial"/>
                <w:sz w:val="22"/>
                <w:szCs w:val="22"/>
              </w:rPr>
            </w:pPr>
            <w:r>
              <w:rPr>
                <w:rFonts w:ascii="Comic Sans MS" w:hAnsi="Comic Sans MS"/>
                <w:sz w:val="16"/>
                <w:szCs w:val="16"/>
              </w:rPr>
              <w:t xml:space="preserve">01926 640010     </w:t>
            </w:r>
            <w:hyperlink r:id="rId8" w:history="1">
              <w:r w:rsidRPr="006F52A3">
                <w:rPr>
                  <w:rStyle w:val="Hyperlink"/>
                  <w:rFonts w:ascii="Comic Sans MS" w:hAnsi="Comic Sans MS"/>
                  <w:color w:val="auto"/>
                  <w:sz w:val="16"/>
                  <w:szCs w:val="16"/>
                  <w:u w:val="none"/>
                </w:rPr>
                <w:t>www.kinetonplaygroup.org</w:t>
              </w:r>
            </w:hyperlink>
            <w:r w:rsidRPr="006F52A3">
              <w:rPr>
                <w:rFonts w:ascii="Comic Sans MS" w:hAnsi="Comic Sans MS"/>
                <w:sz w:val="16"/>
                <w:szCs w:val="16"/>
              </w:rPr>
              <w:t>.uk</w:t>
            </w:r>
            <w:r>
              <w:rPr>
                <w:rFonts w:ascii="Comic Sans MS" w:hAnsi="Comic Sans MS"/>
                <w:sz w:val="16"/>
                <w:szCs w:val="16"/>
              </w:rPr>
              <w:t xml:space="preserve">       kinetonplaygroup@btconnect.com</w:t>
            </w:r>
          </w:p>
        </w:tc>
        <w:tc>
          <w:tcPr>
            <w:tcW w:w="3306" w:type="dxa"/>
            <w:hideMark/>
          </w:tcPr>
          <w:p w:rsidR="006F52A3" w:rsidRDefault="006F52A3">
            <w:pPr>
              <w:jc w:val="right"/>
              <w:rPr>
                <w:rFonts w:ascii="Arial" w:hAnsi="Arial" w:cs="Arial"/>
              </w:rPr>
            </w:pPr>
          </w:p>
        </w:tc>
      </w:tr>
    </w:tbl>
    <w:p w:rsidR="00E332CE" w:rsidRPr="00250E75" w:rsidRDefault="00E332CE" w:rsidP="00BC5B4C">
      <w:pPr>
        <w:rPr>
          <w:sz w:val="20"/>
          <w:szCs w:val="24"/>
        </w:rPr>
      </w:pPr>
    </w:p>
    <w:sectPr w:rsidR="00E332CE" w:rsidRPr="00250E75" w:rsidSect="00E63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84BF5"/>
    <w:multiLevelType w:val="hybridMultilevel"/>
    <w:tmpl w:val="827A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D95B24"/>
    <w:multiLevelType w:val="hybridMultilevel"/>
    <w:tmpl w:val="47027EB4"/>
    <w:lvl w:ilvl="0" w:tplc="08090001">
      <w:start w:val="1"/>
      <w:numFmt w:val="bullet"/>
      <w:lvlText w:val=""/>
      <w:lvlJc w:val="left"/>
      <w:pPr>
        <w:ind w:left="1440" w:hanging="360"/>
      </w:pPr>
      <w:rPr>
        <w:rFonts w:ascii="Symbol" w:hAnsi="Symbol" w:hint="default"/>
      </w:rPr>
    </w:lvl>
    <w:lvl w:ilvl="1" w:tplc="2580EF00">
      <w:numFmt w:val="bullet"/>
      <w:lvlText w:val="-"/>
      <w:lvlJc w:val="left"/>
      <w:pPr>
        <w:ind w:left="2160" w:hanging="360"/>
      </w:pPr>
      <w:rPr>
        <w:rFonts w:ascii="Comic Sans MS" w:eastAsiaTheme="minorHAnsi" w:hAnsi="Comic Sans MS"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7D914BA"/>
    <w:multiLevelType w:val="hybridMultilevel"/>
    <w:tmpl w:val="F5C06F28"/>
    <w:lvl w:ilvl="0" w:tplc="906CEB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B4C"/>
    <w:rsid w:val="00223CC5"/>
    <w:rsid w:val="00250E75"/>
    <w:rsid w:val="00317665"/>
    <w:rsid w:val="00350953"/>
    <w:rsid w:val="004122C7"/>
    <w:rsid w:val="00537E70"/>
    <w:rsid w:val="006F52A3"/>
    <w:rsid w:val="008964BF"/>
    <w:rsid w:val="009F2913"/>
    <w:rsid w:val="00BC5B4C"/>
    <w:rsid w:val="00D53564"/>
    <w:rsid w:val="00DC6F9E"/>
    <w:rsid w:val="00E332CE"/>
    <w:rsid w:val="00E636D7"/>
    <w:rsid w:val="00F847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4C"/>
    <w:pPr>
      <w:ind w:left="720"/>
      <w:contextualSpacing/>
    </w:pPr>
  </w:style>
  <w:style w:type="paragraph" w:styleId="BalloonText">
    <w:name w:val="Balloon Text"/>
    <w:basedOn w:val="Normal"/>
    <w:link w:val="BalloonTextChar"/>
    <w:uiPriority w:val="99"/>
    <w:semiHidden/>
    <w:unhideWhenUsed/>
    <w:rsid w:val="0025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75"/>
    <w:rPr>
      <w:rFonts w:ascii="Tahoma" w:hAnsi="Tahoma" w:cs="Tahoma"/>
      <w:sz w:val="16"/>
      <w:szCs w:val="16"/>
    </w:rPr>
  </w:style>
  <w:style w:type="paragraph" w:styleId="Footer">
    <w:name w:val="footer"/>
    <w:basedOn w:val="Normal"/>
    <w:link w:val="FooterChar"/>
    <w:rsid w:val="00250E7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50E75"/>
    <w:rPr>
      <w:rFonts w:ascii="Times New Roman" w:eastAsia="Times New Roman" w:hAnsi="Times New Roman" w:cs="Times New Roman"/>
      <w:sz w:val="24"/>
      <w:szCs w:val="24"/>
      <w:lang w:val="en-US"/>
    </w:rPr>
  </w:style>
  <w:style w:type="character" w:styleId="Hyperlink">
    <w:name w:val="Hyperlink"/>
    <w:basedOn w:val="DefaultParagraphFont"/>
    <w:rsid w:val="00250E75"/>
    <w:rPr>
      <w:color w:val="0000FF"/>
      <w:u w:val="single"/>
    </w:rPr>
  </w:style>
</w:styles>
</file>

<file path=word/webSettings.xml><?xml version="1.0" encoding="utf-8"?>
<w:webSettings xmlns:r="http://schemas.openxmlformats.org/officeDocument/2006/relationships" xmlns:w="http://schemas.openxmlformats.org/wordprocessingml/2006/main">
  <w:divs>
    <w:div w:id="1201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etonplaygroup.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 &amp; Jo</dc:creator>
  <cp:lastModifiedBy>Kineton Play Group</cp:lastModifiedBy>
  <cp:revision>6</cp:revision>
  <dcterms:created xsi:type="dcterms:W3CDTF">2011-05-18T19:19:00Z</dcterms:created>
  <dcterms:modified xsi:type="dcterms:W3CDTF">2013-11-25T10:23:00Z</dcterms:modified>
</cp:coreProperties>
</file>